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40" w:lineRule="auto"/>
        <w:ind w:right="120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06/2024 - PRAÇA MOLEQUE NAMORADOR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ANEXO IV 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PLANILHA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1" w:lineRule="auto"/>
        <w:ind w:right="103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Preencha a tabela informando todas as despesas indicando as metas/etapas às quais elas estão relacionadas. </w:t>
      </w:r>
    </w:p>
    <w:p w:rsidR="00000000" w:rsidDel="00000000" w:rsidP="00000000" w:rsidRDefault="00000000" w:rsidRPr="00000000" w14:paraId="00000008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 haver a indicação do parâmetro de preço (Ex.: preço estabelecido no SALICNET, 3 orçamentos, etc)  utilizado com a referência específica do item de despesa para auxiliar a análise técnica da comissão de seleção.</w:t>
      </w:r>
    </w:p>
    <w:p w:rsidR="00000000" w:rsidDel="00000000" w:rsidP="00000000" w:rsidRDefault="00000000" w:rsidRPr="00000000" w14:paraId="00000009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Se o projeto tem outras fontes de financiamento, detalhe quais são, o valor do financiamento e onde os recursos serão empregados no projeto.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83.999999999998" w:type="dxa"/>
        <w:jc w:val="left"/>
        <w:tblLayout w:type="fixed"/>
        <w:tblLook w:val="0400"/>
      </w:tblPr>
      <w:tblGrid>
        <w:gridCol w:w="1086"/>
        <w:gridCol w:w="1334"/>
        <w:gridCol w:w="1333"/>
        <w:gridCol w:w="1306"/>
        <w:gridCol w:w="1289"/>
        <w:gridCol w:w="1218"/>
        <w:gridCol w:w="918"/>
        <w:tblGridChange w:id="0">
          <w:tblGrid>
            <w:gridCol w:w="1086"/>
            <w:gridCol w:w="1334"/>
            <w:gridCol w:w="1333"/>
            <w:gridCol w:w="1306"/>
            <w:gridCol w:w="1289"/>
            <w:gridCol w:w="1218"/>
            <w:gridCol w:w="9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Descrição do 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Justificativa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Unidade de medida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Referência de preço (opcional)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Ex.: Fotógrafo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Profissional necessário para registro da oficina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Serviço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8">
            <w:pPr>
              <w:spacing w:after="240" w:line="240" w:lineRule="auto"/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right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o1" w:customStyle="1">
    <w:name w:val="Menção1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hPwH24OQ2yukw/IQnUmXsi8WVg==">CgMxLjAyCWguMzBqMHpsbDgAciExN0ZxUHhBN2ZOTEhrS1dzdk9SM0oyVTZuN1Z4dFNXUnY=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2024-12-03T12:34:00Z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